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F81A" w14:textId="77777777" w:rsidR="00E4373A" w:rsidRDefault="00E4373A"/>
    <w:p w14:paraId="0819CD01" w14:textId="4CBE2F03" w:rsidR="00B32B76" w:rsidRPr="00332C9A" w:rsidRDefault="00B32B76" w:rsidP="00B32B7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VII Convegno Nazionale dell’Olivo e dell’Olio</w:t>
      </w:r>
    </w:p>
    <w:p w14:paraId="60DA60ED" w14:textId="4C6836BB" w:rsidR="00B32B76" w:rsidRPr="00332C9A" w:rsidRDefault="00B32B76" w:rsidP="00B32B7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14-16 ottobre 2026</w:t>
      </w:r>
    </w:p>
    <w:p w14:paraId="34C53B77" w14:textId="78C63EAB" w:rsidR="00B32B76" w:rsidRPr="00332C9A" w:rsidRDefault="00B32B76" w:rsidP="00B32B7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Reggio Calabria</w:t>
      </w:r>
    </w:p>
    <w:p w14:paraId="4EE13DD7" w14:textId="1BF6238A" w:rsidR="00B32B76" w:rsidRPr="00332C9A" w:rsidRDefault="00B32B76" w:rsidP="00B32B76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1</w:t>
      </w:r>
      <w:r w:rsidRPr="006E2E30">
        <w:rPr>
          <w:rFonts w:ascii="Calibri" w:hAnsi="Calibri" w:cs="Calibri"/>
          <w:b/>
          <w:bCs/>
          <w:sz w:val="32"/>
          <w:szCs w:val="32"/>
          <w:vertAlign w:val="superscript"/>
        </w:rPr>
        <w:t>a</w:t>
      </w:r>
      <w:r w:rsidRPr="00332C9A">
        <w:rPr>
          <w:rFonts w:ascii="Calibri" w:hAnsi="Calibri" w:cs="Calibri"/>
          <w:b/>
          <w:bCs/>
          <w:sz w:val="32"/>
          <w:szCs w:val="32"/>
        </w:rPr>
        <w:t xml:space="preserve"> Circolare</w:t>
      </w:r>
    </w:p>
    <w:p w14:paraId="3D6CA32F" w14:textId="2C4BED69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Siamo lieti di invitarvi al VII Convegno Nazionale dell’Olivo e dell’Olio, che si terrà a Reggio Calabria, presso l’Università Mediterranea, dal 14 al 16 ottobre 2026.</w:t>
      </w:r>
    </w:p>
    <w:p w14:paraId="0332A139" w14:textId="5DE31B8F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Il Convegno è organizzato dal Gruppo di Lavoro “Olivo ed Olio” della Società di Ortoflorofrutticoltura Italiana (SOI), in collaborazione con il Dipartimento di Agraria dell’Università Mediterranea di Reggio Calabria</w:t>
      </w:r>
      <w:r w:rsidR="006E2E30">
        <w:rPr>
          <w:rFonts w:ascii="Calibri" w:hAnsi="Calibri" w:cs="Calibri"/>
          <w:sz w:val="24"/>
          <w:szCs w:val="24"/>
        </w:rPr>
        <w:t>,</w:t>
      </w:r>
      <w:r w:rsidRPr="00332C9A">
        <w:rPr>
          <w:rFonts w:ascii="Calibri" w:hAnsi="Calibri" w:cs="Calibri"/>
          <w:sz w:val="24"/>
          <w:szCs w:val="24"/>
        </w:rPr>
        <w:t xml:space="preserve"> il CREA</w:t>
      </w:r>
      <w:r w:rsidR="006E2E30">
        <w:rPr>
          <w:rFonts w:ascii="Calibri" w:hAnsi="Calibri" w:cs="Calibri"/>
          <w:sz w:val="24"/>
          <w:szCs w:val="24"/>
        </w:rPr>
        <w:t xml:space="preserve"> Centro di ricerca olivicoltura, frutticoltura ed agrumicoltura, e</w:t>
      </w:r>
      <w:r w:rsidRPr="00332C9A">
        <w:rPr>
          <w:rFonts w:ascii="Calibri" w:hAnsi="Calibri" w:cs="Calibri"/>
          <w:sz w:val="24"/>
          <w:szCs w:val="24"/>
        </w:rPr>
        <w:t xml:space="preserve"> con il patrocinio dell’Accademia Nazionale dell’Olivo e dell’Olio e di altre Istituzioni nazionali e locali.</w:t>
      </w:r>
    </w:p>
    <w:p w14:paraId="06C19499" w14:textId="1A4C174D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L’evento rappresenta l’appuntamento con cui il Gruppo di lavoro SOI sull’Olivo e l’Olio favorisce l’aggiornamento su tematiche scientifiche e tecniche della filiera olivicolo-olearia, attraverso l’incontro di ricercatori, tecnici e operatori del settore.</w:t>
      </w:r>
    </w:p>
    <w:p w14:paraId="123DFB87" w14:textId="57582EA9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 xml:space="preserve">Il Convegno si articolerà in comunicazioni orali e poster su biotecnologie per il breeding e nuove varietà, innovazioni su propagazione e tecniche vivaistiche, biologia ed ecofisiologia, sistemi d’impianto e tecniche colturali, meccanizzazione, difesa e sistemi di protezione attiva, cambio climatico e gestione sostenibile dell’oliveto, </w:t>
      </w:r>
      <w:r w:rsidR="00E24A11">
        <w:rPr>
          <w:rFonts w:ascii="Calibri" w:hAnsi="Calibri" w:cs="Calibri"/>
          <w:sz w:val="24"/>
          <w:szCs w:val="24"/>
        </w:rPr>
        <w:t>agricoltura di precisione</w:t>
      </w:r>
      <w:r w:rsidRPr="00332C9A">
        <w:rPr>
          <w:rFonts w:ascii="Calibri" w:hAnsi="Calibri" w:cs="Calibri"/>
          <w:sz w:val="24"/>
          <w:szCs w:val="24"/>
        </w:rPr>
        <w:t xml:space="preserve"> e sistemi di supporto alle decisioni, nuove emergenze fitosanitarie, processi di trasformazione dell’olio e delle olive da mensa, paesaggio, multifunzionalità ed oleoturismo, impiego alternativo dei sottoprodotti, economia circolare, qualità, tracciabilità e certificazione per la valorizzazione dell’olio di oliva e delle olive da mensa.</w:t>
      </w:r>
    </w:p>
    <w:p w14:paraId="50156B38" w14:textId="04FB4C8C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La sede della città di Reggio Calabria si associa nel territorio ad una olivicoltura tradizionale di qualità e al vivace tentativo di innovazione dell’imprenditoria locale, ed è legata alla produzione di olio ma anche ad un nascente interesse per la produzione di olive da mensa, nonché alle problematiche di impatto ambientale e sociale della filiera olivicola.</w:t>
      </w:r>
    </w:p>
    <w:p w14:paraId="1E598B0D" w14:textId="5C8023D2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Il programma preliminare prevede le Giornate del 14 e 15 ottobre dedicate al lavoro congressuale e la giornata del 16 ottobre riservata alle visite tecniche.</w:t>
      </w:r>
    </w:p>
    <w:p w14:paraId="6C383442" w14:textId="2D4DC0AD" w:rsidR="00B32B76" w:rsidRPr="00332C9A" w:rsidRDefault="00B32B76" w:rsidP="00332C9A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Contiamo su di voi per il successo dell’iniziativa e per una partecipazione quanto più ampia possibile.</w:t>
      </w:r>
    </w:p>
    <w:p w14:paraId="4339AD34" w14:textId="590F29B6" w:rsidR="00B32B76" w:rsidRPr="00332C9A" w:rsidRDefault="00B32B76" w:rsidP="00332C9A">
      <w:pPr>
        <w:spacing w:after="0"/>
        <w:jc w:val="both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sz w:val="24"/>
          <w:szCs w:val="24"/>
        </w:rPr>
        <w:t>Ulteriori indicazioni saranno fornite nelle prossime circolari.</w:t>
      </w:r>
    </w:p>
    <w:p w14:paraId="12A52EF4" w14:textId="77777777" w:rsidR="00BB7D0A" w:rsidRDefault="00BB7D0A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16B68D05" w14:textId="07819E5E" w:rsidR="00B32B76" w:rsidRPr="00332C9A" w:rsidRDefault="00B32B76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Conveners</w:t>
      </w:r>
    </w:p>
    <w:p w14:paraId="379BAB89" w14:textId="04212E9E" w:rsidR="00B32B76" w:rsidRPr="00332C9A" w:rsidRDefault="00B32B76" w:rsidP="00B32B76">
      <w:pPr>
        <w:jc w:val="both"/>
        <w:rPr>
          <w:rFonts w:ascii="Calibri" w:hAnsi="Calibri" w:cs="Calibri"/>
          <w:sz w:val="24"/>
          <w:szCs w:val="24"/>
        </w:rPr>
      </w:pPr>
      <w:r w:rsidRPr="00332C9A">
        <w:rPr>
          <w:rFonts w:ascii="Calibri" w:hAnsi="Calibri" w:cs="Calibri"/>
          <w:sz w:val="24"/>
          <w:szCs w:val="24"/>
        </w:rPr>
        <w:t>Giuseppe Zimbalatti</w:t>
      </w:r>
      <w:r w:rsidRPr="00332C9A">
        <w:rPr>
          <w:rFonts w:ascii="Calibri" w:hAnsi="Calibri" w:cs="Calibri"/>
          <w:sz w:val="24"/>
          <w:szCs w:val="24"/>
        </w:rPr>
        <w:tab/>
      </w:r>
      <w:r w:rsidRPr="00332C9A">
        <w:rPr>
          <w:rFonts w:ascii="Calibri" w:hAnsi="Calibri" w:cs="Calibri"/>
          <w:sz w:val="24"/>
          <w:szCs w:val="24"/>
        </w:rPr>
        <w:tab/>
        <w:t>Marco Poiana</w:t>
      </w:r>
    </w:p>
    <w:p w14:paraId="2069931C" w14:textId="77777777" w:rsidR="00D42E99" w:rsidRDefault="00D42E99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6FB7111" w14:textId="1ABB599D" w:rsidR="00C85774" w:rsidRPr="00332C9A" w:rsidRDefault="00C85774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lastRenderedPageBreak/>
        <w:t>Comitato scientifico</w:t>
      </w:r>
    </w:p>
    <w:p w14:paraId="1F1F7C59" w14:textId="017DA7DA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Barbara Lanza, CREA 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Pescara</w:t>
      </w:r>
    </w:p>
    <w:p w14:paraId="216000DD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Salvatore Camposeo, Università di Bari</w:t>
      </w:r>
    </w:p>
    <w:p w14:paraId="408095FF" w14:textId="43BDAA24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Fabrizio Carbone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CREA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Rende</w:t>
      </w:r>
    </w:p>
    <w:p w14:paraId="39E67694" w14:textId="369D6A38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Anna De Luca, Università di Reggio Calabria</w:t>
      </w:r>
    </w:p>
    <w:p w14:paraId="027DBE64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93F7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Claudio Di Vaio, Università di Napoli Federico II</w:t>
      </w:r>
    </w:p>
    <w:p w14:paraId="442EB6DE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Franco Famiani, Università di Perugia</w:t>
      </w:r>
    </w:p>
    <w:p w14:paraId="238D2B81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Riccardo Gucci, Università di Pisa</w:t>
      </w:r>
    </w:p>
    <w:p w14:paraId="49EC34EF" w14:textId="77777777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Paolo Inglese, Università di Palermo</w:t>
      </w:r>
    </w:p>
    <w:p w14:paraId="0B29172B" w14:textId="6B6535BC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Stefano La Malfa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di Catania</w:t>
      </w:r>
    </w:p>
    <w:p w14:paraId="08942567" w14:textId="77777777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Alessandro Leone Università di Bari</w:t>
      </w:r>
    </w:p>
    <w:p w14:paraId="3B747C1A" w14:textId="02D9085A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Enrico Maria Lodolini, Università Politecnica delle Marche</w:t>
      </w:r>
    </w:p>
    <w:p w14:paraId="3156A9E1" w14:textId="77777777" w:rsidR="00EB14E0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Rocco Mafrica, </w:t>
      </w:r>
      <w:r w:rsidR="00EB14E0"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  <w:r w:rsidR="00EB14E0" w:rsidRP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3E207EF" w14:textId="68E842C7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Roberto Mariotti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</w:t>
      </w:r>
      <w:r w:rsidRP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IBBR-</w:t>
      </w:r>
      <w:r w:rsidRP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CNR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Perugia</w:t>
      </w:r>
    </w:p>
    <w:p w14:paraId="6E105E4B" w14:textId="018FDF99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10657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Franc</w:t>
      </w:r>
      <w:r w:rsidR="005B4ED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esco Paolo</w:t>
      </w:r>
      <w:r w:rsidRPr="0010657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Marra, </w:t>
      </w:r>
      <w:r w:rsidR="00EB14E0" w:rsidRPr="0010657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</w:t>
      </w:r>
      <w:r w:rsidRPr="0010657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BB7D0A" w:rsidRPr="0010657E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Palermo</w:t>
      </w:r>
    </w:p>
    <w:p w14:paraId="58082AC2" w14:textId="6EA96CD8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Giuseppe Montanaro, Università della Basilicata</w:t>
      </w:r>
    </w:p>
    <w:p w14:paraId="38F2CEDE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Rosario Muleo, Università della Tuscia</w:t>
      </w:r>
    </w:p>
    <w:p w14:paraId="26BBEF09" w14:textId="74C196EC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Enzo Perri, CR</w:t>
      </w:r>
      <w:r w:rsidR="005B4ED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Rende</w:t>
      </w:r>
    </w:p>
    <w:p w14:paraId="7E89CB84" w14:textId="7D79A379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Marco Poiana, </w:t>
      </w:r>
      <w:r w:rsidR="00EB14E0"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4D7E8736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Primo Proietti, Università di Perugia</w:t>
      </w:r>
    </w:p>
    <w:p w14:paraId="783D0E36" w14:textId="2BB8F82D" w:rsidR="00DB00E6" w:rsidRPr="00493F70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93F7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Benedetto Ruperti</w:t>
      </w:r>
      <w:r w:rsidR="00493F7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 Università di Padova</w:t>
      </w:r>
    </w:p>
    <w:p w14:paraId="5FDA22C2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493F7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Raffaele Sacchi, Università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di Napoli Federico II</w:t>
      </w:r>
    </w:p>
    <w:p w14:paraId="3AAB9C98" w14:textId="3D9318B4" w:rsidR="00332C9A" w:rsidRP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Elena S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antilli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CREA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Rende</w:t>
      </w:r>
    </w:p>
    <w:p w14:paraId="7A2455E1" w14:textId="7015E79F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Maria Saponari, </w:t>
      </w:r>
      <w:r w:rsidR="00EB14E0"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IPSP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-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CNR Bari</w:t>
      </w:r>
    </w:p>
    <w:p w14:paraId="5EFF93B2" w14:textId="77777777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Mario Santona, Università di Sassari</w:t>
      </w:r>
    </w:p>
    <w:p w14:paraId="61AB55B4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Luca Sebastiani, Scuola Sant’Anna – Pisa</w:t>
      </w:r>
    </w:p>
    <w:p w14:paraId="0DD1F05B" w14:textId="77777777" w:rsidR="00DB00E6" w:rsidRPr="00332C9A" w:rsidRDefault="00DB00E6" w:rsidP="00DB00E6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Maurizio Servili, Università di Perugia</w:t>
      </w:r>
    </w:p>
    <w:p w14:paraId="40EEC281" w14:textId="0647CDC3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Agnese Taticchi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</w:t>
      </w: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Università di Perugia</w:t>
      </w:r>
    </w:p>
    <w:p w14:paraId="258D8A09" w14:textId="40C65263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Samanta Zelasco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,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CREA</w:t>
      </w:r>
      <w:r w:rsidR="00EB14E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Rende</w:t>
      </w:r>
    </w:p>
    <w:p w14:paraId="1E3B91CD" w14:textId="51346074" w:rsidR="00DB00E6" w:rsidRPr="00332C9A" w:rsidRDefault="00DB00E6" w:rsidP="00DB00E6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B00E6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Giuseppe Zimbalatti, </w:t>
      </w:r>
      <w:r w:rsidR="00EB14E0"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0874A937" w14:textId="77777777" w:rsidR="00C85774" w:rsidRPr="00332C9A" w:rsidRDefault="00C85774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0C4FF1B" w14:textId="5155D3C7" w:rsidR="00C85774" w:rsidRDefault="00C85774" w:rsidP="00B32B76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332C9A">
        <w:rPr>
          <w:rFonts w:ascii="Calibri" w:hAnsi="Calibri" w:cs="Calibri"/>
          <w:b/>
          <w:bCs/>
          <w:sz w:val="32"/>
          <w:szCs w:val="32"/>
        </w:rPr>
        <w:t>Comitato Organizzatore</w:t>
      </w:r>
    </w:p>
    <w:p w14:paraId="7C64DDE7" w14:textId="77777777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Souraya Benalia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,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75D3E584" w14:textId="77777777" w:rsidR="001749AB" w:rsidRDefault="001749AB" w:rsidP="001749A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Cinzia Benincasa, CREA Rende</w:t>
      </w:r>
    </w:p>
    <w:p w14:paraId="1FE7DEA1" w14:textId="77777777" w:rsidR="001749AB" w:rsidRDefault="001749AB" w:rsidP="001749AB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Vincenzo Cilona, ARSAC</w:t>
      </w:r>
    </w:p>
    <w:p w14:paraId="22BD6CEF" w14:textId="61395A0D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Antonio Dattola, Università Mediterranea di Reggio Calabria</w:t>
      </w:r>
    </w:p>
    <w:p w14:paraId="690CD4EA" w14:textId="77777777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Giacomo Falcone,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57254A4C" w14:textId="77777777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Rocco Mafrica,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57B4C124" w14:textId="77777777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Marco Poiana,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359C05D0" w14:textId="77777777" w:rsidR="00332C9A" w:rsidRDefault="00332C9A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Amalia Piscopo, </w:t>
      </w:r>
      <w:r w:rsidRPr="00332C9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Università Mediterranea di Reggio Calabria</w:t>
      </w:r>
    </w:p>
    <w:p w14:paraId="07CF913E" w14:textId="77777777" w:rsidR="00D42E99" w:rsidRDefault="00D42E99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43AFFD16" w14:textId="77777777" w:rsidR="00D42E99" w:rsidRDefault="00D42E99" w:rsidP="00332C9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65EB373A" w14:textId="77777777" w:rsidR="00D42E99" w:rsidRPr="00D42E99" w:rsidRDefault="00D42E99" w:rsidP="00D42E9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D42E99">
        <w:rPr>
          <w:rFonts w:ascii="Calibri" w:hAnsi="Calibri" w:cs="Calibri"/>
          <w:b/>
          <w:bCs/>
          <w:sz w:val="32"/>
          <w:szCs w:val="32"/>
        </w:rPr>
        <w:t>Scadenze</w:t>
      </w:r>
    </w:p>
    <w:p w14:paraId="1378B3C9" w14:textId="64CD626F" w:rsidR="00D42E99" w:rsidRDefault="00D42E99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15 febbraio 2026: invio Circolare n. 2;</w:t>
      </w:r>
    </w:p>
    <w:p w14:paraId="0BB299FE" w14:textId="416AFB12" w:rsidR="00D42E99" w:rsidRPr="00D42E99" w:rsidRDefault="00D42E99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3</w:t>
      </w:r>
      <w:r w:rsidR="00C61A9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1 marzo</w:t>
      </w: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6</w:t>
      </w: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 invio degli abstract dei contributi;</w:t>
      </w:r>
    </w:p>
    <w:p w14:paraId="5DCA6AA8" w14:textId="0ADEF92A" w:rsidR="00D42E99" w:rsidRPr="00D42E99" w:rsidRDefault="00D42E99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1 maggio</w:t>
      </w: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6</w:t>
      </w:r>
      <w:r w:rsidRPr="00D42E99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: accettazione dei contributi;</w:t>
      </w:r>
    </w:p>
    <w:p w14:paraId="396A9084" w14:textId="38EA02AD" w:rsidR="00D42E99" w:rsidRPr="00C61A98" w:rsidRDefault="005B4EDC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61A9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30 giugno</w:t>
      </w:r>
      <w:r w:rsidR="00D42E99" w:rsidRPr="00C61A9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2026: pagamento della quota d’iscrizione in forma ridotta;</w:t>
      </w:r>
    </w:p>
    <w:p w14:paraId="4836D77E" w14:textId="1B2BBB9C" w:rsidR="00D42E99" w:rsidRPr="00C61A98" w:rsidRDefault="00D42E99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61A9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30 settembre 2026: invio programma definitivo;</w:t>
      </w:r>
    </w:p>
    <w:p w14:paraId="2D397F23" w14:textId="60F5DDE7" w:rsidR="00D42E99" w:rsidRDefault="00D42E99" w:rsidP="00D42E99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C61A98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12 ottobre 2026: pagamento della quota d’iscrizione intera.</w:t>
      </w:r>
    </w:p>
    <w:sectPr w:rsidR="00D42E9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7793" w14:textId="77777777" w:rsidR="00582313" w:rsidRDefault="00582313" w:rsidP="00C85774">
      <w:pPr>
        <w:spacing w:after="0" w:line="240" w:lineRule="auto"/>
      </w:pPr>
      <w:r>
        <w:separator/>
      </w:r>
    </w:p>
  </w:endnote>
  <w:endnote w:type="continuationSeparator" w:id="0">
    <w:p w14:paraId="724CD011" w14:textId="77777777" w:rsidR="00582313" w:rsidRDefault="00582313" w:rsidP="00C8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1A9C" w14:textId="77777777" w:rsidR="00582313" w:rsidRDefault="00582313" w:rsidP="00C85774">
      <w:pPr>
        <w:spacing w:after="0" w:line="240" w:lineRule="auto"/>
      </w:pPr>
      <w:r>
        <w:separator/>
      </w:r>
    </w:p>
  </w:footnote>
  <w:footnote w:type="continuationSeparator" w:id="0">
    <w:p w14:paraId="4AD66BA4" w14:textId="77777777" w:rsidR="00582313" w:rsidRDefault="00582313" w:rsidP="00C85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2"/>
      <w:gridCol w:w="2104"/>
      <w:gridCol w:w="2676"/>
      <w:gridCol w:w="2976"/>
    </w:tblGrid>
    <w:tr w:rsidR="00C47BE6" w14:paraId="3FE4B5C1" w14:textId="77777777" w:rsidTr="00C47BE6">
      <w:tc>
        <w:tcPr>
          <w:tcW w:w="2407" w:type="dxa"/>
        </w:tcPr>
        <w:p w14:paraId="175F3111" w14:textId="699C79BD" w:rsidR="00C47BE6" w:rsidRPr="00C47BE6" w:rsidRDefault="00C47BE6" w:rsidP="00C47BE6">
          <w:pPr>
            <w:pStyle w:val="Intestazione"/>
            <w:jc w:val="center"/>
          </w:pPr>
          <w:r w:rsidRPr="00C47BE6">
            <w:rPr>
              <w:noProof/>
            </w:rPr>
            <w:drawing>
              <wp:inline distT="0" distB="0" distL="0" distR="0" wp14:anchorId="748E6FAD" wp14:editId="2757A287">
                <wp:extent cx="808604" cy="951313"/>
                <wp:effectExtent l="0" t="0" r="0" b="1270"/>
                <wp:docPr id="384029030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794" cy="960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B6002A" w14:textId="77777777" w:rsidR="00C85774" w:rsidRDefault="00C85774" w:rsidP="00C47BE6">
          <w:pPr>
            <w:pStyle w:val="Intestazione"/>
            <w:jc w:val="center"/>
          </w:pPr>
        </w:p>
      </w:tc>
      <w:tc>
        <w:tcPr>
          <w:tcW w:w="2407" w:type="dxa"/>
        </w:tcPr>
        <w:p w14:paraId="1CBD037F" w14:textId="4B371446" w:rsidR="00C47BE6" w:rsidRPr="00C47BE6" w:rsidRDefault="00C47BE6" w:rsidP="00C47BE6">
          <w:pPr>
            <w:pStyle w:val="Intestazione"/>
            <w:jc w:val="center"/>
          </w:pPr>
          <w:r w:rsidRPr="00C47BE6">
            <w:rPr>
              <w:noProof/>
            </w:rPr>
            <w:drawing>
              <wp:inline distT="0" distB="0" distL="0" distR="0" wp14:anchorId="2FF9C9BC" wp14:editId="42F20C4D">
                <wp:extent cx="1054376" cy="1021080"/>
                <wp:effectExtent l="0" t="0" r="0" b="7620"/>
                <wp:docPr id="1902973228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9012" cy="102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431168F" w14:textId="3426C09D" w:rsidR="00C85774" w:rsidRDefault="00C85774" w:rsidP="00C47BE6">
          <w:pPr>
            <w:pStyle w:val="Intestazione"/>
            <w:jc w:val="center"/>
          </w:pPr>
        </w:p>
      </w:tc>
      <w:tc>
        <w:tcPr>
          <w:tcW w:w="2407" w:type="dxa"/>
        </w:tcPr>
        <w:p w14:paraId="1A3B5AD9" w14:textId="6768A655" w:rsidR="00C85774" w:rsidRDefault="00C47BE6" w:rsidP="00C47BE6">
          <w:pPr>
            <w:pStyle w:val="Intestazione"/>
            <w:jc w:val="center"/>
          </w:pPr>
          <w:r w:rsidRPr="00C85774">
            <w:rPr>
              <w:noProof/>
            </w:rPr>
            <w:drawing>
              <wp:inline distT="0" distB="0" distL="0" distR="0" wp14:anchorId="34C1F9A0" wp14:editId="10923470">
                <wp:extent cx="1560259" cy="914400"/>
                <wp:effectExtent l="0" t="0" r="1905" b="0"/>
                <wp:docPr id="112078821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6310" cy="917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7" w:type="dxa"/>
        </w:tcPr>
        <w:p w14:paraId="7218E3B6" w14:textId="24E1BF6E" w:rsidR="00C85774" w:rsidRDefault="00D42E99">
          <w:pPr>
            <w:pStyle w:val="Intestazione"/>
          </w:pPr>
          <w:r>
            <w:rPr>
              <w:noProof/>
            </w:rPr>
            <w:drawing>
              <wp:inline distT="0" distB="0" distL="0" distR="0" wp14:anchorId="33F4DA3B" wp14:editId="665D5062">
                <wp:extent cx="1744980" cy="952500"/>
                <wp:effectExtent l="0" t="0" r="7620" b="0"/>
                <wp:docPr id="78205478" name="Immagine 1" descr="CR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98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DFBF1E" w14:textId="632B2AD7" w:rsidR="00C85774" w:rsidRDefault="00C857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76"/>
    <w:rsid w:val="000902AD"/>
    <w:rsid w:val="000972F7"/>
    <w:rsid w:val="0010657E"/>
    <w:rsid w:val="001749AB"/>
    <w:rsid w:val="00187AE2"/>
    <w:rsid w:val="001E5016"/>
    <w:rsid w:val="00251EC9"/>
    <w:rsid w:val="002C0969"/>
    <w:rsid w:val="00332C9A"/>
    <w:rsid w:val="00376A90"/>
    <w:rsid w:val="00396216"/>
    <w:rsid w:val="003B5E73"/>
    <w:rsid w:val="003F1355"/>
    <w:rsid w:val="0040030C"/>
    <w:rsid w:val="00493F70"/>
    <w:rsid w:val="00553DB5"/>
    <w:rsid w:val="00556F8B"/>
    <w:rsid w:val="00567E56"/>
    <w:rsid w:val="00582313"/>
    <w:rsid w:val="005B4EDC"/>
    <w:rsid w:val="005D4240"/>
    <w:rsid w:val="00650786"/>
    <w:rsid w:val="006E2E30"/>
    <w:rsid w:val="00755D71"/>
    <w:rsid w:val="007B71EB"/>
    <w:rsid w:val="007C7EAE"/>
    <w:rsid w:val="00896CE5"/>
    <w:rsid w:val="00A36CB5"/>
    <w:rsid w:val="00B32B76"/>
    <w:rsid w:val="00B4779B"/>
    <w:rsid w:val="00BB7D0A"/>
    <w:rsid w:val="00C42129"/>
    <w:rsid w:val="00C47BE6"/>
    <w:rsid w:val="00C5155A"/>
    <w:rsid w:val="00C54A2B"/>
    <w:rsid w:val="00C61A98"/>
    <w:rsid w:val="00C85774"/>
    <w:rsid w:val="00C90E7F"/>
    <w:rsid w:val="00C955B8"/>
    <w:rsid w:val="00D42E99"/>
    <w:rsid w:val="00DB00E6"/>
    <w:rsid w:val="00E24A11"/>
    <w:rsid w:val="00E4373A"/>
    <w:rsid w:val="00E81034"/>
    <w:rsid w:val="00EA0445"/>
    <w:rsid w:val="00EB14E0"/>
    <w:rsid w:val="00FE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F9B0C"/>
  <w15:chartTrackingRefBased/>
  <w15:docId w15:val="{668FE60B-7397-4EFA-9F17-81940EF6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B7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B7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B7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B7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B7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B7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B7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B7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B7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B7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B7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85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774"/>
  </w:style>
  <w:style w:type="paragraph" w:styleId="Pidipagina">
    <w:name w:val="footer"/>
    <w:basedOn w:val="Normale"/>
    <w:link w:val="PidipaginaCarattere"/>
    <w:uiPriority w:val="99"/>
    <w:unhideWhenUsed/>
    <w:rsid w:val="00C857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774"/>
  </w:style>
  <w:style w:type="table" w:styleId="Grigliatabella">
    <w:name w:val="Table Grid"/>
    <w:basedOn w:val="Tabellanormale"/>
    <w:uiPriority w:val="39"/>
    <w:rsid w:val="00C8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Poiana</dc:creator>
  <cp:keywords/>
  <dc:description/>
  <cp:lastModifiedBy>Marco Poiana</cp:lastModifiedBy>
  <cp:revision>8</cp:revision>
  <cp:lastPrinted>2026-01-09T12:11:00Z</cp:lastPrinted>
  <dcterms:created xsi:type="dcterms:W3CDTF">2026-01-09T12:44:00Z</dcterms:created>
  <dcterms:modified xsi:type="dcterms:W3CDTF">2026-01-13T08:28:00Z</dcterms:modified>
</cp:coreProperties>
</file>